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2012/471 vom 10. Dezember 2014</w:t>
      </w:r>
    </w:p>
    <w:p>
      <w:r>
        <w:t>Sg Versicherungsgericht, 2014-12-10, DE</w:t>
      </w:r>
    </w:p>
    <w:p>
      <w:r>
        <w:rPr>
          <w:b/>
        </w:rPr>
        <w:t xml:space="preserve">Quelle: </w:t>
      </w:r>
      <w:r>
        <w:t>https://mcp.opencaselaw.ch/entscheid/sg_publikationen_IV 2012_471</w:t>
      </w:r>
    </w:p>
    <w:p>
      <w:r>
        <w:t>FR: SG_VERSICHERUNGSGERICHT IV 2012/471 du 10 décembre 2014</w:t>
      </w:r>
    </w:p>
    <w:p>
      <w:r>
        <w:t>IT: SG_VERSICHERUNGSGERICHT IV 2012/471 del 10 dicembre 2014</w:t>
      </w:r>
    </w:p>
    <w:p>
      <w:pPr>
        <w:pStyle w:val="Heading2"/>
      </w:pPr>
      <w:r>
        <w:t>Regeste</w:t>
      </w:r>
    </w:p>
    <w:p>
      <w:r>
        <w:t>Art. 28 IVG. Art. 17 Abs. 1 ATSG. Revisionsweise Renteneinstellung wegen Geburt. Unrechtmässige Renteneinstellung (Entscheid des Versicherungsgerichts des Kantons St. Gallen vom 10. Dezember 2014, IV 2012/471).</w:t>
      </w:r>
    </w:p>
    <w:p>
      <w:pPr>
        <w:pStyle w:val="Heading2"/>
      </w:pPr>
      <w:r>
        <w:t>Erwägungen</w:t>
      </w:r>
    </w:p>
    <w:p>
      <w:r>
        <w:rPr>
          <w:b/>
        </w:rPr>
        <w:t>E. 1</w:t>
      </w:r>
    </w:p>
    <w:p>
      <w:r>
        <w:t>Zwischen den Parteien ist umstritten, ob die verfügte revisionsweise Renteneinstellung zu Recht erfolgt ist.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1.3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2</w:t>
      </w:r>
    </w:p>
    <w:p>
      <w:r>
        <w:t>Im Einklang mit der Aktenlage (IV-act. 148) ist davon auszugehen, dass die medizinische Situation seit der ursprünglichen Leistungszusprache unverändert ist und die Beschwerdeführerin für eine leidensangepasste Tätigkeit weiterhin über eine 50%ige Arbeitsfähigkeit verfügt. Substantielle und mit Belegen untermauerte Vorbringen, aus welchen sich Anhaltspunkte für eine Verschlechterung des Gesundheitszustandes ergeben, sind in den Ausführungen der Parteien nicht enthalten. Die angestammte Tätigkeit als Zimmermädchen ist der Beschwerdeführerin nicht mehr zumutbar. Zu beachten gilt es in diesem Zusammenhang, dass die Beschwerdeführerin, die krankheitsbedingt verlangsamt arbeitet ("die Abläufe gehen langsamer, die Patientin benötigt auch mehr Kraft", IV-act. 39-5), die ihr verbliebene Leistungsfähigkeit im Erwerbsbereich mit überwiegender Wahrscheinlichkeit im Rahmen eines ganztägigen Pensums zu erbringen hätte (so auch die RAD-Stellungnahme vom 25. Juni 2007, IV-act. 54, sowie die Einschätzung des zuständigen Sachbearbeiters vom 19. Juni 2012, IV-act. 148-1; zum vollzeitlichen Pensum siehe auch die Beurteilung von Dr. C.___ vom 15. November 2006, IV-act. 39-4) bzw. unabhängig des ausgeübten Erwerbspensums in der Leistungserbringung um 50% beeinträchtigt ist.</w:t>
      </w:r>
    </w:p>
    <w:p>
      <w:r>
        <w:rPr>
          <w:b/>
        </w:rPr>
        <w:t>E. 3</w:t>
      </w:r>
    </w:p>
    <w:p>
      <w:r>
        <w:t>Betreffend die Statusfrage fällt ins Gewicht, dass die Beschwerdeführerin gemäss Abklärungsbericht vom 18. Juni 2012 angab, aufgrund der familiären Situation mit Kleinkind würde sie heute mit einem Pensum von 50 bis 80% arbeiten, wenn sie nicht behindert wäre (IV-act. 147-3). 3.1   Anhaltspunkte für eine von der Beschwerdeführerin in der Beschwerde geltend gemachte unsachgemässe Fragestellung (act. G 1, Rz 9) oder ein sprachliches Missverständnis sind nicht ersichtlich. Vielmehr deckt sich die Angabe einer 50 bis 80%igen Bandbreite mit der im leserlich ausgefüllten Fragebogen zuvor gemachten Aussage (Seite 1 des Fragebogens zur Rentenabklärung betreffend Erwerbstätigkeit/Haushalt, IV-act. 135-4). Zwar ist die fragliche Seite von der Beschwerdeführerin nicht unterzeichnet worden. Indessen wurde sie als Beilage zum von ihr unterzeichneten Fragebogen "Revision der Invalidenrente/Hilflosenentschädigung" eingereicht (IV-act. 135-1 ff.), weshalb sie als wesentliches Indiz Berücksichtigung findet. Gestützt auf diese "Aussage der ersten Stunde" (vgl. zu deren Stellenwert BGE 121 V 47 E. 2a) ist mit überwiegender Wahrscheinlichkeit davon auszugehen, dass die Beschwerdeführerin im Gesundheitsfall nicht voll erwerbstätig wäre. Dem stehen weder die finanzielle Situation (der Ehemann bezieht einen Nettolohn von monatlich Fr. 5'000.--, IV-act. 147-3) noch die später anderslautenden, wohl von versicherungstechnischen Überlegungen mitgeprägten Ausführungen der Beschwerdeführerin (IV-act. 156 und act. G 1, Rz 8 ff.; vgl. auch act. G 9, Rz 2 f.) entgegen. 3.2   Dem Vorgehen der Beschwerdegegnerin, betreffend das hypothetische Erwerbspensum auf den Mittelwert der Bandbreite abzustellen, kann vorliegend nicht gefolgt werden. Die Beschwerdeführerin gab einerseits eine grosse Bandbreite von 30% ("50 bis 80%", IV-act. 147-3) an, weshalb ihre Aussage äusserst vage bleibt und auf erhebliche Schwierigkeiten bei der Beantwortung der komplexen hypothetischen Statusfrage hinweist. Vor diesem Hintergrund wäre es angezeigt gewesen, weitere Abklärungen vorzunehmen, um das überwiegend wahrscheinliche Pensum näher einzukreisen. Zumindest wäre aber von der Beschwerdegegnerin zu erwarten gewesen, dass sie zunächst die angegebene Bandbreite aufgrund der Umstände konkretisiert, bevor sie ohne nähere Prüfung auf den - zwangsläufig aufgrund der vagen Bandbreite - für sich allein nicht aussagekräftigen Mittelwert abstellt. Die Rechtsprechung räumt denn auch einem gestützt auf die konkreten familiären, finanziellen und persönlichen Verhältnisse innerhalb einer Bandbreite festgelegten Wert Vorrang gegenüber dem - wie vorliegend - nicht näher begründeten Mittelwert ein (Urteil des Bundesgerichts vom 21. Februar 2013, 8C_807/2012, E. 4). 3.3   Zunächst hat die Beschwerdeführerin glaubhaft dargelegt, dass sie bei der Betreuung des 2011 geborenen Sohns auf eine breite Unterstützung durch die Schwester, Nichte und den im Zweischichtbetrieb arbeitenden Ehegatten zählen könnte. Ergänzend besteht auch ein Kinderkrippenangebot, auf das sie zurückgreifen könnte (IV-act. 147-3). Des Weiteren legte die Beschwerdeführerin plausibel dar, dass wirtschaftliche Gründe bestünden (Nettolohn des Ehegatten Fr. 5'000.-- pro Monat bei monatlichen Mietkosten von Fr. 1'500.-- und finanzieller Unterstützung des sich im Studium in F.___ befindenden Sohns, IV-act. 147-3), die auf ein hohes Teilerwerbspensum im hypothetischen Gesundheitsfall hinweisen. Schliesslich darf auch nicht die Bemerkung der Beschwerdeführerin ausser Acht gelassen werden, sie habe Freude an der Arbeit (IV-act. 147-3). Im Licht dieser Umstände ist mit überwiegender Wahrscheinlichkeit davon auszugehen, die Beschwerdeführerin hätte im Gesundheitsfall ein Teilerwerbspensum am obersten Rand der angegebenen Bandbreite, mithin von 80% ausgeübt, zumal die Beschwerdeführerin bereits früher bestrebt war, möglichst viel zu arbeiten (vgl. zur im Rahmen einer 45-Stundenwoche ausgeübten Erwerbstätigkeit, die sie schliesslich aus familiären Gründen aufgab IV-act. 4, oder zur 100%igen Erwerbstätigkeit vom 1. Dezember 2003 bis 28. Februar 2005 IV-act. 24; vgl. ferner act. G 9, Rz 3). 3.4   In Anbetracht der Tatsache, dass die Beschwerdeführerin nach ihrer Einreise in der Schweiz für verschiedene Arbeitgeberinnen tätig war und erheblich schwankende Jahreslöhne erzielte (siehe zum Ganzen den IK-Auszug in IV-act. 23), fehlt es an einer aussagekräftigen Grundlage für die Bestimmung des Valideneinkommens. Zur Bemessung des Invaliditätsgrads ist daher - wie bei der ursprünglichen Rentenzusprache (vgl. IV-act. 78) - ein Prozentvergleich vorzunehmen (Urteil des Bundesgerichts vom 9. Juli 2012, 9C_406/2011, E. 6.4). 3.4.1         Weiter stellt sich bei der Bestimmung des Invalideneinkommens die Frage nach der Höhe des Tabellenlohnabzugs. Gemäss der Rechtsprechung hängen die Fragen, ob und in welchem Ausmass Tabellenlöhne herabzusetzen sind, von sämt­lichen persönlichen und beruflichen Umständen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Tabellenabzugs ist unzulässig (BGE 126 V 79 E. 5b und 129 V 481 E. 4.2.3 mit Hinweisen). 3.4.2         Unbestritten ist, dass die Beschwerdeführerin allein schon aufgrund leidens­bedingter Einschränkung (funktionelle Einhändigkeit) Anspruch auf einen 10%igen Tabellenlohnabzug hat (vgl. IV-act. 66 und IV-act. 149-2). Die Frage, ob der bei der ursprünglichen Rentenzusprache gewährte 10%ige Abzug zu erhöhen ist, wie die Beschwerdeführerin beantragt (vgl. act. G 1, Rz 14 und G 9, Rz 4), kann indessen offen bleiben, da eine solche Erhöhung keinen Einfluss auf die Rentenhöhe zeitigen würde (vgl. nachstehende E. 5). 3.4.3         Unter Berücksichtigung einer 50%igen Arbeitsfähigkeit und einem 10%igen Tabellenlohnabzug resultiert im Rahmen eines Prozentvergleichs ein Invaliditätsgrad von 55% (50% + [50% x 0,1]) im Erwerbsbereich. Angepasst an ein hypothetisches Erwerbspensum von 80% ergibt sich ein gewichteter Teilinvaliditätsgrad von 44% (55% x 0,8) für den Erwerbsbereich.</w:t>
      </w:r>
    </w:p>
    <w:p>
      <w:r>
        <w:rPr>
          <w:b/>
        </w:rPr>
        <w:t>E. 4</w:t>
      </w:r>
    </w:p>
    <w:p>
      <w:r>
        <w:t>Was die Einschränkung im Haushaltsbereich anbelangt, so hat die Beschwerdeführerin verschiedene Einwände gegen den von der Beschwerdegegnerin ermittelten Teilinvaliditätsgrad von 13,2% (IV-act. 147-10 f.) erhoben (act. G 1, Rz 16 ff.). 4.1   Angesichts dessen, dass die medizinischen Fachpersonen die angestammte Tätigkeit bzw. die ebenfalls im Haushalt anfallenden Tätigkeiten wie Putzen, Betten beziehen "usw." für (gänzlich) unzumutbar hielten (IV-act. 39-3; bestätigt zuletzt in der RAD-Stellungnahme vom 25. Juni 2012, IV-act. 148-2), ist die von der Abklärungsperson unter Berücksichtigung der zumutbaren Mithilfe der Familienangehörigen ermittelte Beeinträchtigung von 13,2% nicht nachvollziehbar. Dies gilt umso mehr, als die Beschwerdeführerin als funktionelle Einhänderin zu betrachten ist (vgl. IV-act. 39-5) und der RAD ausdrücklich erwähnte, "bzgl. Hausarbeit (AOS) ist zu beachten, dass die versicherte Person bei linksarmigen Tätigkeiten stark eingeschränkt ist" (IV-act. 148-3). Dabei ist zu bemängeln, dass die ärztlichen Einschätzungen, namentlich diejenige von Dr. C.___ (IV-act. 39) oder des RAD (IV-act. 148-3), soweit ersichtlich, keinen Niederschlag im Abklärungsbericht gefunden haben. Die Zweifel am Betätigungsvergleich werden noch durch den Umstand erhärtet, dass die Abklärungsperson am Schluss des Berichts angab, "der RAD muss zum mediz. Sachverhalt noch Stellung nehmen, d.h. es ist die heute zumutbare Arbeitsfähigkeit nochmals zu definieren" (IV-act. 147-11). Da es sich bei den ärztlichen Einschätzungen um eine notwendige Grundlage für den Betätigungsvergleich handelt und sie demzufolge von der Abklärungsperson zu berücksichtigen sind (Urteil des Bundesgerichts vom 22. April 2010, 9C_90/2010, E. 4.1.1.2), fehlt dem Abklärungsbericht auch unter diesem Aspekt die Aussagekraft. 4.2   Auf eine neuerliche Haushaltsabklärung kann verzichtet werden, da gestützt auf die gutachterliche Beurteilung bezüglich der teilweise mit Haushaltsarbeit vergleichbaren Tätigkeit als Zimmermädchen eine 100%ige Arbeitsunfähigkeit (IV-act. 39-3) und sogar für leidensangepasste Tätigkeiten eine immerhin 50%ige Arbeitsunfähigkeit ausgewiesen ist (IV-act. 39-5; an der gutachterlichen Beurteilung hielt der RAD in der Stellungnahme vom 25. Juni 2012 fest, IV-act. 148-3). Deshalb kann mit überwiegender Wahrscheinlichkeit davon ausgegangen werden, dass selbst unter zumutbarer Mithilfe der Familienangehörigen eine mindestens 30%ige Einschränkung im Haushaltsbereich besteht. Diesbezüglich gilt es festzuhalten, dass die 19__ geborene und ab August 2012 ein Praktikum in einem Pflegeheim absolvierende Tochter für Haushaltarbeiten in viel kleinerem Mass zur Verfügung stehen dürfte, als im Abklärungsbericht angenommen wurde (vgl. IV-act. 147-1, 4 f.). Bei einer Gewichtung des Haushaltsbereichs mit 20% und einer Einschränkung von 30% resultiert ein Teilinvaliditätsgrad von 6%(30% x 20%).</w:t>
      </w:r>
    </w:p>
    <w:p>
      <w:r>
        <w:rPr>
          <w:b/>
        </w:rPr>
        <w:t>E. 5</w:t>
      </w:r>
    </w:p>
    <w:p>
      <w:r>
        <w:t>Bei gewichteten Teilinvaliditätsgraden von 44% (Erwerbsbereich) und 6% (Haushalts­bereich) ergibt sich ein Invaliditätsgrad von 50%, womit die Beschwerdeführerin weiterhin Anspruch auf die bisherige halbe Rente hat.</w:t>
      </w:r>
    </w:p>
    <w:p>
      <w:r>
        <w:rPr>
          <w:b/>
        </w:rPr>
        <w:t>E. 6</w:t>
      </w:r>
    </w:p>
    <w:p>
      <w:r>
        <w:t>6.1   Nach dem Gesagten ist die Verfügung vom 12. November 2012 aufzuheben.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Der von der Beschwerdeführerin geleistete Kostenvorschuss von Fr. 600.-- ist ihr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Demgemäss hat das Versicherungsgericht im Zirkulationsverfahren gemäss Art. 39 VRP entschieden: 1.    In Gutheissung der Beschwerde vom 13. Dezember 2012 wird die Verfügung vom 12. November 2012 aufgehoben und der Beschwerdeführerin weiterhin eine halbe Rente zugesprochen.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